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SOC4 Crime and deviance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2 · Specification 3.5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Constructing crime and deviance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crime from deviance and explain their social construction.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Merton's strain mechanism, anomie and five adaptations.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adaptations and evaluate the limits of strain theory.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Becker's labelling and a possible deviant career.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structural, subcultural and interactionist explanations of offending.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Social control and gender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formal and informal control and their sanctions.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Heidensohn's controls at home, in public and at work.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consensus, class-conflict and feminist accounts of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Explaining behaviour and social patterns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Cohen's status frustration and evaluate delinquent subculture theory.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Carlen's class and gender deals, methods and sample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application of convicted women's accounts to wider populations.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class, opportunity, white-collar and corporate crime.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ethnicity and criminal-justice patterns without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gendered control, opportunities and the chivalry thesis.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age patterns through life stage, opportunities and detection.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SOC4 Crime and deviance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2 · Specification 3.5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Public debates and responses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purposes and consequences of sentencing, custody and community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debates about violence, young offenders and prison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media selection, moral panic and possible amplification.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Crime data and research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police recording and the dark figure, distinguishing underlying incidents.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victim surveys and self-report studies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rates, counts and trends using appropriate denominators.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crime sources and explain their complementary strengths and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Dated crime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dated crime estimates and qualify claims using statistical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SOC4 Crime and deviance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2 · Specification 3.5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criminal-justice and media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justice-system and offence vocabulary to distinguish institutions, procedures and outcomes.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media selection, symbolic threats and forms of communication.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conduct and religion concepts without treating social groups as homogeneous.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SOC4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SOC4 Crime and deviance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