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SOC3 Education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1 · Specification 3.4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Roles, institutions and provision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education's economic, socialisation and mobility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Durkheim's account of schooling and shared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Parsons's bridge, universal standards and meritocratic role allocation.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school types, funding, selection and alternative provision.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home education, de-schooling, further and higher education.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Education and capitalism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Bowles and Gintis's correspondence principle and historical setting.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hidden curriculum and evaluate correspondence arguments.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 and educational achievement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mechanisms linking material resources and educational chances.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cultural capital from contested cultural-deprivation accounts.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Halsey's findings, operational class groups and sample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Ball, Bowe and Gewirtz's parental-choice and competition research.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SOC3 Education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1 · Specification 3.4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Gender, ethnicity and overlapping inequalities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gender and ethnic achievement patterns without biological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ethnocentric and gendered curricula and institutional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interacting inequalities and education reforms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Processes within schools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setting, streaming and mixed-ability teaching.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labelling and a possible self-fulfilling prophecy with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Ball's Beachside research design and findings.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Willis's counter-school culture, agency and unintended class reproduction.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peer sanctions and compare theoretical accounts of school processes.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Evidence and educational arguments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attainment, participation and progress using comparable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methods and consent when researching pupils in schools.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SOC3 Education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1 · Specification 3.4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Further education and measurement concepts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historical selection, special provision, curriculum and assessment concepts.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intelligence measures and institutional judgements with attention to inequality.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SOC3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SOC3 Education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