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SOC2 Families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1 · Specification 3.3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Family functions and perspectives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family ties, households and the functions families may perform.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Parsons's two family functions and gendered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functionalist, Marxist and feminist explanations of family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Family forms and diversity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nuclear, extended, lone-parent, reconstituted and same-sex family forms.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cohabitation, marriage patterns and communal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all five Rapoport dimensions of family diversity.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family changes across historical and global settings.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Conjugal roles and domestic work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joint and segregated conjugal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domestic inequality using workload, responsibility and decision making.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double-shift burdens in dual-career families.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Oakley's critique of the conventional-family ideal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SOC2 Families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1 · Specification 3.3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Changing relationships and responsibilities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Willmott and Young's symmetry and diffusion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changes in relationships, functions and family responsibilities.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arranged marriage from forced marriage without stereotyping.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parenting and adolescent relationships using processes and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caring relationships involving older and disabled people.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Criticisms and competing explanations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Zaretsky's relationship between private family life and capitalism.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Delphy and Leonard's account of labour with Marxist family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idealisation, isolation, dysfunction and loss of family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Divorce patterns and explanations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divorce counts and rates without assuming uniform continuous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law, secularisation and attitudes can affect divorce.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women's resources influence relationship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consequences of divorce for adults, children and wider kin.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methods and ethics for studying domestic labour and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SOC2 Families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1 · Specification 3.3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Family statistics in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dated ONS divorce evidence and distinguish its geographical and measurement scope.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procedure and processing can change the timing of recorded divorce.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family and social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authority, work, kinship and migration vocabulary without stereotyping families.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SOC2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SOC2 Families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