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RS8 Theme F: Religion, human rights and social justice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Rights and equality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human rights and the responsibilities that accompany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social justice.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prejudice from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Christian reason for opposing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reason for opposing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racial prejudice and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religious teaching to challenge racial exclusion.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positive action from preferential selection.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arguments about positive discrimination using equality and justice.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Religion and inclusion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freedom of religion and belief.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limits on freedom of religious expression.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Christian arguments about equal dignity and different religious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views on women's ordination.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Buddhist arguments about women's spiritual potential.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diversity in Buddhist women's access to full ordination.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views about same-sex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Buddhist ethical approaches to same-sex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religious treatment of people in same-sex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RS8 Theme F: Religion, human rights and social justice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Wealth and poverty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Christian teaching about the right attitude to wealth.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teaching about attachment to wealth.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uses of wealth using religious teaching.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absolute and relative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personal and structural causes of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Matthew 25 to explain a responsibility to help people in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dana as a responsibility of generosity.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people with resources can tackle causes of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Exploitation and charity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exploitation through unfair pay.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James 5:4 to explain the duty to pay workers fairly.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right livelihood to explain a Buddhist objection to exploitation.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excessive interest can trap people in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people-trafficking as exploitation rather than all migration.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religious reasons to protect people from trafficking.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expectations that people in poverty should help themselves.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support can strengthen a person's autonomy.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emergency charity from long-term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religious motivation for charitable giving.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charity using effectiveness, accountability and dignity.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RS8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RS8 Theme F: Religion, human rights and social justice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