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RS6 Theme C: The existence of God and revelation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AQA GCSE Religious Studies A 8062 | Paper 2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Design and causation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theism, atheism, agnosticism and humanism.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reasoning of the Design argument.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Paley's watch analogy.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strength of the Design argument.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weakness of the Design argument.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evolution challenges an argument from biological design.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 religious response to scientific explanations.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reasoning of the First Cause argument.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strength of the First Cause argument.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 objection to exempting God from needing a cause.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proposal that existence could be a brute fact.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limits on identifying a first cause with the Christian God.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Miracles and suffering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argument from miracles.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the wedding at Cana as an example of a claimed miracle.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strength of an argument from miracles.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testimony and alternative explanations for a miracle claim.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Christian and non-religious interpretations of miracles.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moral and natural evil.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evil and suffering as an argument against God's existence.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RS6 Theme C: The existence of God and revelation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AQA GCSE Religious Studies A 8062 | Paper 2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Miracles and suffering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free-will defence.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the free-will defence's limits.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 soul-making response to suffering.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Revelation and experience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general and special revelation.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nature as general revelation.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Christian and humanist interpretations of nature.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scripture as a source of general revelation.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Damascus road vision and its religious significance.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Christian and non-religious explanations of visions.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enlightenment as a claimed source of knowledge about ultimate reality.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omnipotence from omniscience.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personal and impersonal understandings of the divine.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immanence from transcendence.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Christians can affirm both immanence and transcendence.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the value of general revelation as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the value of special revelation as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problem of conflicting accounts of the divine.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mistaken, deceptive and natural explanations of religious experience.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RS6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RS6 Theme C: The existence of God and revelation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