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RS5 Theme B: Religion and life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AQA GCSE Religious Studies A 8062 | Paper 2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Origins and value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Big Bang as a scientific account of cosmic development.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literal and non-literal Christian accounts of the universe's origins.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Buddhist perspective on whether creation requires a creator.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evolution through inherited variation and natural selection.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Christian responses to evolution.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Buddhist perspective on the origins of human life.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religious and non-religious interpretations of awe and wonder.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Environment and animals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stewardship using a Christian source.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contrasting interpretations of dominion.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Buddhist reason for protecting the environment.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resource use can benefit people and harm the environment.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an example of environmental pollution.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Christian argument about animal experimentation.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Buddhist argument about animal experimentation.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animal experimentation using purpose, harm and available alternatives.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contrasting Christian views about using animals for food.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diversity in Buddhist approaches to eating meat.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Dhammapada 129–130 to explain concern for animals.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RS5 Theme B: Religion and life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AQA GCSE Religious Studies A 8062 | Paper 2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Value of human life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Christian basis for sanctity of human life.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Buddhist reason for valuing human life.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quality of life from inherent human worth.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Abortion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Catholic objection to direct abortion.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some Christians permit abortion in grave circumstances.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Buddhist objection to abortion.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abortion when the mother's life is at risk.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End of life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voluntary and non-voluntary euthanasia.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euthanasia from assisted suicide.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intentional killing from palliative care or withdrawing disproportionate treatment.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Christian arguments about euthanasia.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Buddhist arguments about euthanasia.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hospice care can be an alternative to euthanasia.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 autonomy argument concerning end-of-life decisions.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safeguarding objections to euthanasia.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Christian afterlife beliefs influence attitudes to human life.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Buddhist rebirth beliefs influence attitudes to human life.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religious and non-religious reasons for valuing life.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RS5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RS5 Theme B: Religion and life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