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RS4 Buddhism: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Worship and meditation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a home shrine.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a Buddhist temple.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roles of viharas and gompas.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a Buddha rupa.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flowers in offerings.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lights in offerings.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incense in offerings.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of bowing in Buddhist devotion.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puja in the home and temple.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chanting as devotion and an aid to concentration.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use of mantras and mala beads.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aim of samatha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mindfulness of breathing.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aim of vipassana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and methods of zazen.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tranquillity and insight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visualisation can develop compassion or wisdom.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Avalokiteshvara's connection with compassion.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RS4 Buddhism: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Death and festivals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Theravada funeral practices.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Theravada mourning rituals express impermanence.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funeral and memorial practices in Japan.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bardo's significance in Tibetan death rituals.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sky burial without treating it as universal Tibetan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Buddhist mourning practices in Theravada, Japanese and Tibetan communities.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Wesak commemorates.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Wesak celebrations express Buddhist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Parinirvana Day.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Buddhists attend retreats.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Buddhist festivals in Britain today.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and compassion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kamma as intentional action and its consequences.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rebirth without assuming an unchanging soul.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belief in kamma does not justify blaming or neglecting sufferers.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karuna and apply it to an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metta and its development through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RS4 Buddhism: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and compassion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Dhammapada 5 to explain a response to hatred.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first precept to a decision about taking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second precept to a decision about taking property.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third precept to avoiding sexual harm.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fourth precept to truthful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fifth precept to avoiding heedlessness.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precepts as ethical training rather than a creator's commands.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Six Perfections.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generosity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morality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patience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energy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meditation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wisdom is developed as a perfection.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specific connection between Buddhist belief and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RS4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RS4 Buddhism: practices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