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Dhamma and existence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Dhamma as the Buddha's teaching and truth about reality.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following the Dhamma influences Buddhist conduct.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dependent arising.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anicca.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anatta without denying ordinary personal experience.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forms of dukkha.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Personality and destiny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Five Aggregates.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sensation from perception in the Five Aggregates.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 as the physical aggregate.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mental formations as an aggregate of intentions and habits.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consciousness as awareness of an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Five Aggregates support anatta.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sunyata as emptiness of independent inherent existence.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Buddha-nature and the possibility of Buddhahood.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Personality and destiny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Arhat ideal in Theravada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Bodhisattva ideal in Mahayana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Arhat and Bodhisattva ideals without stereotyping either tradition.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Buddhist meaning of complete Buddhahood.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Amitabha in Pure Land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Pure Land rebirth is valued.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faith and recitation in Pure Land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Buddha's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the Buddha's birth and protected early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Four Sights.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Four Sights motivated Siddhartha's 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Jataka 075 to explain the significance of the Four Sights.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Siddhartha rejected severe asceticism.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Middle Way.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the Buddha's enlightenment.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Four Noble Truths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Four Noble Truths.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craving as a cause of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Three Poisons cause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third Noble Truth's teaching that craving can cease.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nibbana and distinguish it from ordinary pleasure or a creator's heaven.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eight parts of the Eightfold Path.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understanding and intention within wisdom.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speech, action and livelihood within ethics.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effort, mindfulness and concentration within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Threefold Way's divisions support each other.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190–191 to explain the relationship between refuge and the path.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RS3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RS3 Buddhism: beliefs and teachings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