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Worship and prayer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 liturgical service.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Christians value liturgical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non-liturgical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informal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significance of structured and spontaneous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private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Christians use the Bible in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praise, thanksgiving, confession, petition and intercession.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set and informal prayer.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prayer can influence a Christian's 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teaching about relationship with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concern for daily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teaching about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the Lord's Prayer is important in Christian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Sacraments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meaning of a sacrament.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Sacraments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about the number and importance of sacraments.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water in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scriptural source to explain the significance of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infant baptism and the promises made on a child's behalf.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support infant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believers'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require personal faith before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connection between Communion and the Last Supper.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Catholic belief in transubstantiation.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Orthodox belief in Christ's real presence in Communion.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Protestant understandings of Communion as remembrance or spiritual participation.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interpretations of Communion.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beliefs about Communion affect its celebration.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Pilgrimage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Christian pilgrimage.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Pilgrimage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Lourdes for pilgrims.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Iona for pilgrims.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pilgrimage at Lourdes and Iona.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pilgrimage compared with worship and service at home.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Christmas celebrations express incarnation.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Easter celebrations express crucifixion and resurrection.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Christian festivals in Britain today.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Church and society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church-linked food banks put Christian teaching into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street pastors serve the local community.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mission from evangelism.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outreach can contribute to Church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worldwide Church's work for reconciliation.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churches respond to persecution.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Aid expresses Christian concern for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Christian Aid's emergency relief from long-term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RS2 Christianity: practices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