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RS1 Christianity: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God and creation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Christian belief in God's omnipotence means.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a loving God influences a Christian.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Christian belief in God's justice means.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evil and suffering challenge belief in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one God as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Father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Son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Holy Spirit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Jesus' baptism to explain a source for Trinitarian belief.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Word's role in creation using John 1:1–3.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Spirit's role in creation using Genesis 1:1–3.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literal and non-literal Christian interpretations of creation.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Jesus and salvation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incarnation as God becoming human in Jesus.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scriptural source to support belief in Jesus as the Son of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influence of incarnation on a Christian's response to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crucifixion for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Jesus' example on the cross to explain Christian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resurrection.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ascension.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Place crucifixion, resurrection and ascension in their correct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RS1 Christianity: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Jesus and salvation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sin as separation from God's will.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original sin and differences in its interpretation.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repentance can change a person's 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Christian meaning of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God's law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grace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Holy Spirit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emphases on faith and good works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atonement as restoration of humanity's relationship with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explanations of Christ's saving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John 3:16 to explain the connection between divine love and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Christ's saving love can influence conduct.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 after death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understandings of resurrection and life after death.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resurrection can influence responses to bereavement.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Matthew 25 to explain why judgement can motivate practical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heaven.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interpretations of hell.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Catholic belief in purgatory from hell.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specific link between a Christian belief and an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RS1 Christianity: beliefs and teachings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