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MUS5 Film Music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AoS4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Purpose, narrative and resources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screen-music purposes and diegetic/non-diegetic perspective.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original film scoring from pre-existing repertoire used on screen.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acoustic/electronic resources and production with appropriate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film composers and specific cue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Motifs, harmony and dramatic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motif and leitmotif and explain narrative association.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Transform a recognisable theme through pitch, rhythm, harmony or timbre.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inversion, ostinato and development without assuming tempo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harmonic tension, resolution and tonal ambiguity.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texture, register, articulation and dynamics support a scene.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pacing, density, silence and changes of emphasis.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audible articulation evidence to support an interpretation.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MUS5 Film Music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AoS4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Synchronisation and video games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musical timing around selected visual hit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detailed audiovisual correspondence and alternative underscore approaches.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evaluate a convincing repeating game loop.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vertical layering, horizontal resequencing and musical transitions.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adaptive arrangement from a volume change alone.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Discuss game composers, platform limitations and sound palettes.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Appraisal and composition exercises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and evaluate screen cues using located musical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Compose contrasting versions of an original motif and evaluate their purpose.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dramatic effect of sparse and thick textures.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MUS5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MUS5 Film Music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