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MUS4 Rhythms of the World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&amp; 3 · Specification 2b AoS3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Hearing tradition and interaction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Locate traditions in specific cultural settings without regional stereotypes.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Hear repeated layers, pulse, leadership and changes in density.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modern technology can change traditional presentation.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Indian classical music and Punjabi bhangra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raga, drone and melodic elaboration in Indian classical music.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tala cycles, tabla roles and measured/unmetered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Indian melodic ornament, improvisation and performer interaction.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Punjabi bhangra to dance, dhol, chaal and changing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named Indian/Punjabi examples with contextual listening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Eastern Mediterranean and Middle East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regular/additive rhythms in specific Mediterranean and Middle Eastern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Greek folk resources and relate them to dance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maqam-related melodic practice and oud/qanun/darbuka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Discuss Palestinian and Israeli folk-dance contexts without conflating identities.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named examples using rhythm, instrumentation and setting.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MUS4 Rhythms of the World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&amp; 3 · Specification 2b AoS3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African drumming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ensemble roles, purpose and techniques in a specific African drumming tradition.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syncopation, cross-rhythm, polyrhythm and shared cycles.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calls, responses, improvisation and coordination.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named African ensemble evidence to identify actual roles and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Calypso, steel bands and samba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calypso to Trinidadian song, rhythmic features and social commentary.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steelpan sound production and ensemble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samba to Afro-Brazilian/carnival contexts and layered percussion.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samba instruments, cues and repeating patterns.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son clave from an assumed universal Latin American rhythm.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named samba example to discuss interaction and setting.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Perform coordinated patterns, entries, responses and breaks.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MUS4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MUS4 Rhythms of the World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