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BUS7 Making marketing decisions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Business 1BS0 | Theme 2 /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Product decisions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trade-offs between function, aesthetics and cost in the design mix.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product life-cycle stages and explain their sales and cost implications.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differentiation and extension strategies, recognising life-cycle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Pricing decisions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cost-plus, competitive, penetration, skimming and promotional pricing for different contexts.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cost-plus prices and distinguish mark-up on cost from margin on selling price.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price changes and revenue and explain why price cuts may not improve profit.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pricing using costs, competition, customers, technology, objectives and life-cycle stage.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BUS7 Making marketing decisions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Business 1BS0 | Theme 2 /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Promotion decisions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advertising, sponsorship, trials, special offers and branding for a target audience.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targeted online advertising, viral promotion and e-newsletters.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Judge promotion using sales, contribution and costs, recognising the limits of reach and views.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Place and distribution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retailers and e-tailers using customer access, service, cost and product needs.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online fulfilment costs and explain delivery, returns and stock-coordination challenges.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 integrated marketing mix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an integrated mix creates competitive advantage for the target market.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how changes in price, product, technology or competition affect other mix elements and business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Justify marketing recommendations using case evidence, demand, costs, profit and key assumptions.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BUS7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BUS7 Making marketing decisions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